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B" w:rsidRPr="006D41FB" w:rsidRDefault="006D41FB" w:rsidP="006D41FB">
      <w:pPr>
        <w:pStyle w:val="a3"/>
        <w:jc w:val="left"/>
      </w:pPr>
    </w:p>
    <w:p w:rsidR="006D41FB" w:rsidRPr="00893D59" w:rsidRDefault="006D41FB" w:rsidP="006D41FB">
      <w:pPr>
        <w:pStyle w:val="a4"/>
        <w:jc w:val="center"/>
        <w:rPr>
          <w:rFonts w:ascii="Times New Roman" w:hAnsi="Times New Roman"/>
          <w:b/>
          <w:bCs/>
          <w:color w:val="FF0000"/>
          <w:sz w:val="20"/>
        </w:rPr>
      </w:pPr>
      <w:proofErr w:type="gramStart"/>
      <w:r w:rsidRPr="00893D59">
        <w:rPr>
          <w:rFonts w:ascii="Times New Roman" w:hAnsi="Times New Roman"/>
          <w:b/>
          <w:bCs/>
          <w:color w:val="FF0000"/>
          <w:sz w:val="20"/>
        </w:rPr>
        <w:t>Обучение по охране</w:t>
      </w:r>
      <w:proofErr w:type="gramEnd"/>
      <w:r w:rsidRPr="00893D59">
        <w:rPr>
          <w:rFonts w:ascii="Times New Roman" w:hAnsi="Times New Roman"/>
          <w:b/>
          <w:bCs/>
          <w:color w:val="FF0000"/>
          <w:sz w:val="20"/>
        </w:rPr>
        <w:t xml:space="preserve"> труда</w:t>
      </w:r>
    </w:p>
    <w:p w:rsidR="006D41FB" w:rsidRPr="00893D59" w:rsidRDefault="006D41FB" w:rsidP="006D41FB">
      <w:pPr>
        <w:pStyle w:val="a4"/>
        <w:jc w:val="center"/>
        <w:rPr>
          <w:rFonts w:ascii="Times New Roman" w:hAnsi="Times New Roman"/>
          <w:b/>
          <w:bCs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6"/>
      </w:tblGrid>
      <w:tr w:rsidR="006D41FB" w:rsidRPr="00893D59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893D59" w:rsidRDefault="006D41FB" w:rsidP="00B9197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Почему нужно пройти </w:t>
            </w:r>
            <w:proofErr w:type="gramStart"/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>обучение по охране</w:t>
            </w:r>
            <w:proofErr w:type="gramEnd"/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труда?</w:t>
            </w:r>
          </w:p>
        </w:tc>
      </w:tr>
    </w:tbl>
    <w:p w:rsidR="006D41FB" w:rsidRPr="00893D59" w:rsidRDefault="004D6522" w:rsidP="004D6522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  В</w:t>
      </w:r>
      <w:r w:rsidR="006D41FB" w:rsidRPr="00893D59">
        <w:rPr>
          <w:rFonts w:ascii="Times New Roman" w:hAnsi="Times New Roman"/>
          <w:color w:val="000000"/>
          <w:sz w:val="20"/>
          <w:shd w:val="clear" w:color="auto" w:fill="FFFFFF"/>
        </w:rPr>
        <w:t xml:space="preserve"> соответствии со ст. 22 ТК РФ каждый работодатель, независимо от формы собственности организации, обязан обеспечить своим работникам безопасные условия труда, а именно: проводить обучение безопасным методам и приемам выполнения работы, в установленных законодательством случаях выдавать средства защиты (индивидуальные или коллективные), проводить инструктажи по охране труда.</w:t>
      </w:r>
    </w:p>
    <w:p w:rsidR="006D41FB" w:rsidRPr="00893D59" w:rsidRDefault="006D41FB" w:rsidP="004D6522">
      <w:pPr>
        <w:pStyle w:val="a4"/>
        <w:numPr>
          <w:ilvl w:val="0"/>
          <w:numId w:val="2"/>
        </w:numPr>
        <w:rPr>
          <w:rFonts w:ascii="Times New Roman" w:hAnsi="Times New Roman"/>
          <w:sz w:val="20"/>
        </w:rPr>
      </w:pPr>
      <w:r w:rsidRPr="00893D59">
        <w:rPr>
          <w:rFonts w:ascii="Times New Roman" w:hAnsi="Times New Roman"/>
          <w:sz w:val="20"/>
        </w:rPr>
        <w:t xml:space="preserve">Какие виды инструктажа бывают? Кто должен проводить инструктаж и </w:t>
      </w:r>
      <w:proofErr w:type="gramStart"/>
      <w:r w:rsidRPr="00893D59">
        <w:rPr>
          <w:rFonts w:ascii="Times New Roman" w:hAnsi="Times New Roman"/>
          <w:sz w:val="20"/>
        </w:rPr>
        <w:t>обучение по охране</w:t>
      </w:r>
      <w:proofErr w:type="gramEnd"/>
      <w:r w:rsidRPr="00893D59">
        <w:rPr>
          <w:rFonts w:ascii="Times New Roman" w:hAnsi="Times New Roman"/>
          <w:sz w:val="20"/>
        </w:rPr>
        <w:t xml:space="preserve"> труда? Какая ответственность предусмотрена за невыполнение требований законодательства по охране труда? Какие журналы надо оформить и вести для проверок?</w:t>
      </w:r>
    </w:p>
    <w:p w:rsidR="006D41FB" w:rsidRPr="00893D59" w:rsidRDefault="006D41FB" w:rsidP="004D6522">
      <w:pPr>
        <w:pStyle w:val="a4"/>
        <w:numPr>
          <w:ilvl w:val="0"/>
          <w:numId w:val="2"/>
        </w:numPr>
        <w:rPr>
          <w:rFonts w:ascii="Times New Roman" w:hAnsi="Times New Roman"/>
          <w:sz w:val="20"/>
        </w:rPr>
      </w:pPr>
      <w:r w:rsidRPr="00893D59">
        <w:rPr>
          <w:rFonts w:ascii="Times New Roman" w:hAnsi="Times New Roman"/>
          <w:color w:val="000000"/>
          <w:sz w:val="20"/>
          <w:shd w:val="clear" w:color="auto" w:fill="FFFFFF"/>
        </w:rPr>
        <w:t xml:space="preserve">В ст. 212 ТК РФ </w:t>
      </w:r>
      <w:r w:rsidRPr="00893D59">
        <w:rPr>
          <w:rFonts w:ascii="Times New Roman" w:hAnsi="Times New Roman"/>
          <w:sz w:val="20"/>
        </w:rPr>
        <w:t>работодатель не вправе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6D41FB" w:rsidRPr="00893D59" w:rsidRDefault="006D41FB" w:rsidP="004D6522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0"/>
          <w:shd w:val="clear" w:color="auto" w:fill="FFFFFF"/>
        </w:rPr>
      </w:pPr>
      <w:r w:rsidRPr="00893D59">
        <w:rPr>
          <w:rStyle w:val="a6"/>
          <w:rFonts w:ascii="Times New Roman" w:hAnsi="Times New Roman"/>
          <w:i/>
          <w:iCs/>
          <w:color w:val="000000"/>
          <w:sz w:val="20"/>
          <w:shd w:val="clear" w:color="auto" w:fill="FFFFFF"/>
        </w:rPr>
        <w:t xml:space="preserve">Все работники организации, в том числе руководители, обязаны проходить обучение по охране труда и проверку знаний требований охраны труда не реже одного раза в три года </w:t>
      </w:r>
      <w:r w:rsidRPr="00893D59">
        <w:rPr>
          <w:rFonts w:ascii="Times New Roman" w:hAnsi="Times New Roman"/>
          <w:color w:val="000000"/>
          <w:sz w:val="20"/>
          <w:shd w:val="clear" w:color="auto" w:fill="FFFFFF"/>
        </w:rPr>
        <w:t>(Постановление Минтруда РФ, Минобразования РФ от 13.01.2003 N 1/29 "Об утверждении Порядка обучения по охране труда и проверки знаний требований охраны труда работников организаций" (Зарегистрировано в Минюсте РФ 12.02.2003 N 4209)).</w:t>
      </w:r>
    </w:p>
    <w:p w:rsidR="006D41FB" w:rsidRPr="00893D59" w:rsidRDefault="006D41FB" w:rsidP="006D41FB">
      <w:pPr>
        <w:pStyle w:val="a4"/>
        <w:rPr>
          <w:rStyle w:val="a6"/>
          <w:rFonts w:ascii="Times New Roman" w:hAnsi="Times New Roman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6"/>
      </w:tblGrid>
      <w:tr w:rsidR="006D41FB" w:rsidRPr="00893D59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893D59" w:rsidRDefault="006D41FB" w:rsidP="00B9197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Какая ответственность установлена, если не пройдено </w:t>
            </w:r>
            <w:proofErr w:type="gramStart"/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>обучение по охране</w:t>
            </w:r>
            <w:proofErr w:type="gramEnd"/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труда?</w:t>
            </w:r>
          </w:p>
        </w:tc>
      </w:tr>
    </w:tbl>
    <w:p w:rsidR="006D41FB" w:rsidRPr="00893D59" w:rsidRDefault="006D41FB" w:rsidP="006D41FB">
      <w:pPr>
        <w:jc w:val="center"/>
        <w:rPr>
          <w:rStyle w:val="a6"/>
          <w:color w:val="000000"/>
          <w:sz w:val="20"/>
          <w:szCs w:val="20"/>
        </w:rPr>
      </w:pPr>
    </w:p>
    <w:p w:rsidR="006D41FB" w:rsidRPr="00893D59" w:rsidRDefault="006D41FB" w:rsidP="006D41FB">
      <w:pPr>
        <w:jc w:val="center"/>
        <w:rPr>
          <w:color w:val="000000"/>
          <w:sz w:val="20"/>
          <w:szCs w:val="20"/>
        </w:rPr>
      </w:pPr>
      <w:r w:rsidRPr="00893D59">
        <w:rPr>
          <w:rStyle w:val="a6"/>
          <w:color w:val="000000"/>
          <w:sz w:val="20"/>
          <w:szCs w:val="20"/>
        </w:rPr>
        <w:t>КОДЕКС РОССИЙСКОЙ ФЕДЕРАЦИИ ОБ АДМИНИСТРАТИВНЫХ ПРАВОНАРУШЕНИЯХ</w:t>
      </w:r>
    </w:p>
    <w:p w:rsidR="004D6522" w:rsidRDefault="004D6522" w:rsidP="004D652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893D59" w:rsidRPr="00893D59" w:rsidRDefault="00893D59" w:rsidP="00893D59"/>
    <w:p w:rsidR="004D6522" w:rsidRPr="004D6522" w:rsidRDefault="004D6522" w:rsidP="004D6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0" w:name="Par0"/>
      <w:bookmarkEnd w:id="0"/>
      <w:r>
        <w:rPr>
          <w:rFonts w:eastAsiaTheme="minorHAnsi"/>
          <w:sz w:val="20"/>
          <w:szCs w:val="20"/>
          <w:lang w:eastAsia="en-US"/>
        </w:rPr>
        <w:t>п.</w:t>
      </w:r>
      <w:r w:rsidRPr="004D6522">
        <w:rPr>
          <w:rFonts w:eastAsiaTheme="minorHAnsi"/>
          <w:sz w:val="20"/>
          <w:szCs w:val="20"/>
          <w:lang w:eastAsia="en-US"/>
        </w:rPr>
        <w:t xml:space="preserve">1. Нарушение государственных нормативных </w:t>
      </w:r>
      <w:hyperlink r:id="rId5" w:history="1">
        <w:r w:rsidRPr="004D6522">
          <w:rPr>
            <w:rFonts w:eastAsiaTheme="minorHAnsi"/>
            <w:color w:val="0000FF"/>
            <w:sz w:val="20"/>
            <w:szCs w:val="20"/>
            <w:lang w:eastAsia="en-US"/>
          </w:rPr>
          <w:t>требований</w:t>
        </w:r>
      </w:hyperlink>
      <w:r w:rsidRPr="004D6522">
        <w:rPr>
          <w:rFonts w:eastAsiaTheme="minorHAnsi"/>
          <w:sz w:val="20"/>
          <w:szCs w:val="20"/>
          <w:lang w:eastAsia="en-US"/>
        </w:rPr>
        <w:t xml:space="preserve">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w:anchor="Par2" w:history="1">
        <w:r w:rsidRPr="004D6522">
          <w:rPr>
            <w:rFonts w:eastAsiaTheme="minorHAnsi"/>
            <w:color w:val="0000FF"/>
            <w:sz w:val="20"/>
            <w:szCs w:val="20"/>
            <w:lang w:eastAsia="en-US"/>
          </w:rPr>
          <w:t>частями 2</w:t>
        </w:r>
      </w:hyperlink>
      <w:r w:rsidRPr="004D6522">
        <w:rPr>
          <w:rFonts w:eastAsiaTheme="minorHAnsi"/>
          <w:sz w:val="20"/>
          <w:szCs w:val="20"/>
          <w:lang w:eastAsia="en-US"/>
        </w:rPr>
        <w:t xml:space="preserve"> - </w:t>
      </w:r>
      <w:hyperlink w:anchor="Par6" w:history="1">
        <w:r w:rsidRPr="004D6522">
          <w:rPr>
            <w:rFonts w:eastAsiaTheme="minorHAnsi"/>
            <w:color w:val="0000FF"/>
            <w:sz w:val="20"/>
            <w:szCs w:val="20"/>
            <w:lang w:eastAsia="en-US"/>
          </w:rPr>
          <w:t>4</w:t>
        </w:r>
      </w:hyperlink>
      <w:r w:rsidRPr="004D6522">
        <w:rPr>
          <w:rFonts w:eastAsiaTheme="minorHAnsi"/>
          <w:sz w:val="20"/>
          <w:szCs w:val="20"/>
          <w:lang w:eastAsia="en-US"/>
        </w:rPr>
        <w:t xml:space="preserve"> настоящей статьи, -</w:t>
      </w:r>
    </w:p>
    <w:p w:rsidR="004D6522" w:rsidRPr="004D6522" w:rsidRDefault="004D6522" w:rsidP="004D6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D6522">
        <w:rPr>
          <w:rFonts w:eastAsiaTheme="minorHAnsi"/>
          <w:sz w:val="20"/>
          <w:szCs w:val="20"/>
          <w:lang w:eastAsia="en-US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4D6522" w:rsidRPr="004D6522" w:rsidRDefault="004D6522" w:rsidP="004D6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" w:name="Par2"/>
      <w:bookmarkEnd w:id="1"/>
      <w:r>
        <w:rPr>
          <w:rFonts w:eastAsiaTheme="minorHAnsi"/>
          <w:sz w:val="20"/>
          <w:szCs w:val="20"/>
          <w:lang w:eastAsia="en-US"/>
        </w:rPr>
        <w:t xml:space="preserve">п. </w:t>
      </w:r>
      <w:r w:rsidRPr="004D6522">
        <w:rPr>
          <w:rFonts w:eastAsiaTheme="minorHAnsi"/>
          <w:sz w:val="20"/>
          <w:szCs w:val="20"/>
          <w:lang w:eastAsia="en-US"/>
        </w:rPr>
        <w:t xml:space="preserve">5. Совершение административных правонарушений, предусмотренных </w:t>
      </w:r>
      <w:hyperlink w:anchor="Par0" w:history="1">
        <w:r w:rsidRPr="004D6522">
          <w:rPr>
            <w:rFonts w:eastAsiaTheme="minorHAnsi"/>
            <w:color w:val="0000FF"/>
            <w:sz w:val="20"/>
            <w:szCs w:val="20"/>
            <w:lang w:eastAsia="en-US"/>
          </w:rPr>
          <w:t>частями 1</w:t>
        </w:r>
      </w:hyperlink>
      <w:r w:rsidRPr="004D6522">
        <w:rPr>
          <w:rFonts w:eastAsiaTheme="minorHAnsi"/>
          <w:sz w:val="20"/>
          <w:szCs w:val="20"/>
          <w:lang w:eastAsia="en-US"/>
        </w:rPr>
        <w:t xml:space="preserve"> - </w:t>
      </w:r>
      <w:hyperlink w:anchor="Par6" w:history="1">
        <w:r w:rsidRPr="004D6522">
          <w:rPr>
            <w:rFonts w:eastAsiaTheme="minorHAnsi"/>
            <w:color w:val="0000FF"/>
            <w:sz w:val="20"/>
            <w:szCs w:val="20"/>
            <w:lang w:eastAsia="en-US"/>
          </w:rPr>
          <w:t>4</w:t>
        </w:r>
      </w:hyperlink>
      <w:r w:rsidRPr="004D6522">
        <w:rPr>
          <w:rFonts w:eastAsiaTheme="minorHAnsi"/>
          <w:sz w:val="20"/>
          <w:szCs w:val="20"/>
          <w:lang w:eastAsia="en-US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4D6522" w:rsidRPr="004D6522" w:rsidRDefault="004D6522" w:rsidP="004D6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4D6522">
        <w:rPr>
          <w:rFonts w:eastAsiaTheme="minorHAnsi"/>
          <w:sz w:val="20"/>
          <w:szCs w:val="20"/>
          <w:lang w:eastAsia="en-US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4D6522">
        <w:rPr>
          <w:rFonts w:eastAsiaTheme="minorHAnsi"/>
          <w:sz w:val="20"/>
          <w:szCs w:val="20"/>
          <w:lang w:eastAsia="en-US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6D41FB" w:rsidRPr="00893D59" w:rsidRDefault="006D41FB" w:rsidP="006D41FB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893D59">
        <w:rPr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12" name="Рисунок 12" descr="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59">
        <w:rPr>
          <w:b/>
          <w:bCs/>
          <w:i/>
          <w:iCs/>
          <w:color w:val="000000"/>
          <w:sz w:val="20"/>
          <w:szCs w:val="20"/>
        </w:rPr>
        <w:t>Отсутствие финансовых средств не является основанием для освобождения учреждения и его руководителя от административной ответственности, что подтверждается и сложившейся судебной практикой.</w:t>
      </w:r>
      <w:r w:rsidR="004D6522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93D59">
        <w:rPr>
          <w:b/>
          <w:bCs/>
          <w:i/>
          <w:iCs/>
          <w:color w:val="000000"/>
          <w:sz w:val="20"/>
          <w:szCs w:val="20"/>
        </w:rPr>
        <w:t xml:space="preserve">Контроль над своевременным проведением </w:t>
      </w:r>
      <w:proofErr w:type="gramStart"/>
      <w:r w:rsidRPr="00893D59">
        <w:rPr>
          <w:b/>
          <w:bCs/>
          <w:i/>
          <w:iCs/>
          <w:color w:val="000000"/>
          <w:sz w:val="20"/>
          <w:szCs w:val="20"/>
        </w:rPr>
        <w:t>проверки знаний требований охраны труда</w:t>
      </w:r>
      <w:proofErr w:type="gramEnd"/>
      <w:r w:rsidRPr="00893D59">
        <w:rPr>
          <w:b/>
          <w:bCs/>
          <w:i/>
          <w:iCs/>
          <w:color w:val="000000"/>
          <w:sz w:val="20"/>
          <w:szCs w:val="20"/>
        </w:rPr>
        <w:t xml:space="preserve"> работниками организаций осуществляется Федеральной государственной инспекцией труда (гл. 57 ТК РФ). Государственные инспектора труда вправе отстранить от работы лиц, не прошедших в установленном порядке обучение, инструктаж  и проверку знаний в сфере охраны труда.</w:t>
      </w:r>
    </w:p>
    <w:p w:rsidR="006D41FB" w:rsidRPr="00893D59" w:rsidRDefault="006D41FB" w:rsidP="006D41FB">
      <w:pPr>
        <w:jc w:val="both"/>
        <w:rPr>
          <w:i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6"/>
      </w:tblGrid>
      <w:tr w:rsidR="006D41FB" w:rsidRPr="00893D59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893D59" w:rsidRDefault="006D41FB" w:rsidP="00B9197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Кому нужно пройти </w:t>
            </w:r>
            <w:proofErr w:type="gramStart"/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>обучение по охране</w:t>
            </w:r>
            <w:proofErr w:type="gramEnd"/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труда?</w:t>
            </w:r>
          </w:p>
        </w:tc>
      </w:tr>
    </w:tbl>
    <w:p w:rsidR="006D41FB" w:rsidRPr="00893D59" w:rsidRDefault="006D41FB" w:rsidP="006D41FB">
      <w:pPr>
        <w:jc w:val="center"/>
        <w:rPr>
          <w:rStyle w:val="a6"/>
          <w:color w:val="000000"/>
          <w:sz w:val="20"/>
          <w:szCs w:val="20"/>
        </w:rPr>
      </w:pPr>
    </w:p>
    <w:p w:rsidR="006D41FB" w:rsidRPr="00893D59" w:rsidRDefault="006D41FB" w:rsidP="006D41FB">
      <w:pPr>
        <w:jc w:val="center"/>
        <w:rPr>
          <w:rStyle w:val="a6"/>
          <w:color w:val="000000"/>
          <w:sz w:val="20"/>
          <w:szCs w:val="20"/>
        </w:rPr>
      </w:pPr>
      <w:r w:rsidRPr="00893D59">
        <w:rPr>
          <w:rStyle w:val="a6"/>
          <w:color w:val="000000"/>
          <w:sz w:val="20"/>
          <w:szCs w:val="20"/>
        </w:rPr>
        <w:t xml:space="preserve">Категории </w:t>
      </w:r>
      <w:proofErr w:type="gramStart"/>
      <w:r w:rsidRPr="00893D59">
        <w:rPr>
          <w:rStyle w:val="a6"/>
          <w:color w:val="000000"/>
          <w:sz w:val="20"/>
          <w:szCs w:val="20"/>
        </w:rPr>
        <w:t>обучающихся</w:t>
      </w:r>
      <w:proofErr w:type="gramEnd"/>
      <w:r w:rsidRPr="00893D59">
        <w:rPr>
          <w:rStyle w:val="a6"/>
          <w:color w:val="000000"/>
          <w:sz w:val="20"/>
          <w:szCs w:val="20"/>
        </w:rPr>
        <w:t>:</w:t>
      </w:r>
    </w:p>
    <w:p w:rsidR="006D41FB" w:rsidRPr="00893D59" w:rsidRDefault="006D41FB" w:rsidP="006D41FB">
      <w:pPr>
        <w:pStyle w:val="a4"/>
        <w:tabs>
          <w:tab w:val="num" w:pos="567"/>
        </w:tabs>
        <w:rPr>
          <w:rFonts w:ascii="Times New Roman" w:hAnsi="Times New Roman"/>
          <w:color w:val="000000"/>
          <w:sz w:val="20"/>
        </w:rPr>
      </w:pPr>
      <w:r w:rsidRPr="00893D59">
        <w:rPr>
          <w:rFonts w:ascii="Times New Roman" w:hAnsi="Times New Roman"/>
          <w:color w:val="000000"/>
          <w:sz w:val="20"/>
        </w:rPr>
        <w:t>- руководители учреждений и организаций, заместители руководителей, в том числе курирующие вопросы охраны труда;</w:t>
      </w:r>
    </w:p>
    <w:p w:rsidR="006D41FB" w:rsidRPr="00893D59" w:rsidRDefault="006D41FB" w:rsidP="006D41FB">
      <w:pPr>
        <w:pStyle w:val="a4"/>
        <w:tabs>
          <w:tab w:val="num" w:pos="567"/>
        </w:tabs>
        <w:rPr>
          <w:rFonts w:ascii="Times New Roman" w:hAnsi="Times New Roman"/>
          <w:color w:val="000000"/>
          <w:sz w:val="20"/>
        </w:rPr>
      </w:pPr>
      <w:r w:rsidRPr="00893D59">
        <w:rPr>
          <w:rFonts w:ascii="Times New Roman" w:hAnsi="Times New Roman"/>
          <w:color w:val="000000"/>
          <w:sz w:val="20"/>
        </w:rPr>
        <w:t>- руководители подразделений, специалисты, инженерно-технические работники, осуществляющие 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организаторы и руководители производственной практики;</w:t>
      </w:r>
    </w:p>
    <w:p w:rsidR="006D41FB" w:rsidRPr="00893D59" w:rsidRDefault="006D41FB" w:rsidP="006D41FB">
      <w:pPr>
        <w:pStyle w:val="a4"/>
        <w:tabs>
          <w:tab w:val="num" w:pos="567"/>
        </w:tabs>
        <w:rPr>
          <w:rFonts w:ascii="Times New Roman" w:hAnsi="Times New Roman"/>
          <w:color w:val="000000"/>
          <w:sz w:val="20"/>
        </w:rPr>
      </w:pPr>
      <w:r w:rsidRPr="00893D59">
        <w:rPr>
          <w:rFonts w:ascii="Times New Roman" w:hAnsi="Times New Roman"/>
          <w:color w:val="000000"/>
          <w:sz w:val="20"/>
        </w:rPr>
        <w:t>- специалисты служб охраны труда и члены комитетов (комиссий) по охране труда;</w:t>
      </w:r>
    </w:p>
    <w:p w:rsidR="006D41FB" w:rsidRPr="00893D59" w:rsidRDefault="006D41FB" w:rsidP="006D41FB">
      <w:pPr>
        <w:pStyle w:val="a4"/>
        <w:tabs>
          <w:tab w:val="num" w:pos="567"/>
        </w:tabs>
        <w:rPr>
          <w:rFonts w:ascii="Times New Roman" w:hAnsi="Times New Roman"/>
          <w:color w:val="000000"/>
          <w:sz w:val="20"/>
        </w:rPr>
      </w:pPr>
      <w:r w:rsidRPr="00893D59">
        <w:rPr>
          <w:rFonts w:ascii="Times New Roman" w:hAnsi="Times New Roman"/>
          <w:color w:val="000000"/>
          <w:sz w:val="20"/>
        </w:rPr>
        <w:t>- уполномоченные (доверенные) лица профессиональных союзов и иных уполномоченных работниками       представительных органов;</w:t>
      </w:r>
    </w:p>
    <w:p w:rsidR="006D41FB" w:rsidRPr="00893D59" w:rsidRDefault="006D41FB" w:rsidP="006D41FB">
      <w:pPr>
        <w:pStyle w:val="a4"/>
        <w:tabs>
          <w:tab w:val="num" w:pos="567"/>
        </w:tabs>
        <w:jc w:val="left"/>
        <w:rPr>
          <w:rFonts w:ascii="Times New Roman" w:hAnsi="Times New Roman"/>
          <w:sz w:val="20"/>
        </w:rPr>
      </w:pPr>
      <w:r w:rsidRPr="00893D59">
        <w:rPr>
          <w:rFonts w:ascii="Times New Roman" w:hAnsi="Times New Roman"/>
          <w:color w:val="000000"/>
          <w:sz w:val="20"/>
        </w:rPr>
        <w:t xml:space="preserve"> - члены комиссий по проверке знаний требований охраны труда.</w:t>
      </w:r>
    </w:p>
    <w:p w:rsidR="006D41FB" w:rsidRPr="00893D59" w:rsidRDefault="006D41FB" w:rsidP="006D41FB">
      <w:pPr>
        <w:pStyle w:val="a4"/>
        <w:tabs>
          <w:tab w:val="num" w:pos="567"/>
        </w:tabs>
        <w:rPr>
          <w:rFonts w:ascii="Times New Roman" w:hAnsi="Times New Roman"/>
          <w:sz w:val="20"/>
        </w:rPr>
      </w:pPr>
      <w:r w:rsidRPr="00893D59">
        <w:rPr>
          <w:rFonts w:ascii="Times New Roman" w:hAnsi="Times New Roman"/>
          <w:b/>
          <w:bCs/>
          <w:sz w:val="20"/>
        </w:rPr>
        <w:t>Обучение охране труда проводится:</w:t>
      </w:r>
      <w:r w:rsidRPr="00893D59">
        <w:rPr>
          <w:rFonts w:ascii="Times New Roman" w:hAnsi="Times New Roman"/>
          <w:sz w:val="20"/>
        </w:rPr>
        <w:t xml:space="preserve"> при приеме работника на работу; при назначении работника на новую должность; при переводе на другую работу, требующую дополнительных знаний в области промышленной безопасности; при вводе в действие новых нормативных документов по охране труда и промышленной безопасности, новой техники, технологии; при перерыве в работе свыше 1 года; </w:t>
      </w:r>
      <w:r w:rsidRPr="00893D59">
        <w:rPr>
          <w:rFonts w:ascii="Times New Roman" w:hAnsi="Times New Roman"/>
          <w:b/>
          <w:bCs/>
          <w:i/>
          <w:iCs/>
          <w:sz w:val="20"/>
        </w:rPr>
        <w:t>периодически не реже 1 раза в 3 года</w:t>
      </w:r>
      <w:r w:rsidRPr="00893D59">
        <w:rPr>
          <w:rFonts w:ascii="Times New Roman" w:hAnsi="Times New Roman"/>
          <w:sz w:val="20"/>
        </w:rPr>
        <w:t>.</w:t>
      </w:r>
    </w:p>
    <w:p w:rsidR="006D41FB" w:rsidRPr="00893D59" w:rsidRDefault="006D41FB" w:rsidP="006D41FB">
      <w:pPr>
        <w:pStyle w:val="a4"/>
        <w:tabs>
          <w:tab w:val="num" w:pos="567"/>
        </w:tabs>
        <w:ind w:left="360"/>
        <w:jc w:val="left"/>
        <w:rPr>
          <w:rStyle w:val="a6"/>
          <w:rFonts w:ascii="Times New Roman" w:hAnsi="Times New Roman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6"/>
      </w:tblGrid>
      <w:tr w:rsidR="006D41FB" w:rsidRPr="00893D59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893D59" w:rsidRDefault="006D41FB" w:rsidP="00B9197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893D59">
              <w:rPr>
                <w:rFonts w:ascii="Times New Roman" w:hAnsi="Times New Roman"/>
                <w:b/>
                <w:bCs/>
                <w:color w:val="FFFFFF"/>
                <w:sz w:val="20"/>
              </w:rPr>
              <w:t>Как и в какие сроки можно пройти обучение?</w:t>
            </w:r>
          </w:p>
        </w:tc>
      </w:tr>
    </w:tbl>
    <w:p w:rsidR="006D41FB" w:rsidRPr="00893D59" w:rsidRDefault="006D41FB" w:rsidP="006D41FB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color w:val="000000"/>
          <w:sz w:val="20"/>
          <w:szCs w:val="20"/>
        </w:rPr>
      </w:pPr>
      <w:r w:rsidRPr="00893D59">
        <w:rPr>
          <w:color w:val="000000"/>
          <w:sz w:val="20"/>
          <w:szCs w:val="20"/>
        </w:rPr>
        <w:lastRenderedPageBreak/>
        <w:t>Обучение сотрудников может проводиться как с отрывом, так и без отрыва от производства.</w:t>
      </w:r>
    </w:p>
    <w:p w:rsidR="006D41FB" w:rsidRPr="00893D59" w:rsidRDefault="006D41FB" w:rsidP="006D41FB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color w:val="000000"/>
          <w:sz w:val="20"/>
          <w:szCs w:val="20"/>
        </w:rPr>
      </w:pPr>
      <w:r w:rsidRPr="00893D59">
        <w:rPr>
          <w:color w:val="000000"/>
          <w:sz w:val="20"/>
          <w:szCs w:val="20"/>
        </w:rPr>
        <w:t xml:space="preserve">Обучение проводится в образовательных учреждениях, имеющих лицензию на </w:t>
      </w:r>
      <w:proofErr w:type="gramStart"/>
      <w:r w:rsidRPr="00893D59">
        <w:rPr>
          <w:color w:val="000000"/>
          <w:sz w:val="20"/>
          <w:szCs w:val="20"/>
        </w:rPr>
        <w:t>право ведения</w:t>
      </w:r>
      <w:proofErr w:type="gramEnd"/>
      <w:r w:rsidRPr="00893D59">
        <w:rPr>
          <w:color w:val="000000"/>
          <w:sz w:val="20"/>
          <w:szCs w:val="20"/>
        </w:rPr>
        <w:t xml:space="preserve"> образовательной деятельности и внесенных в реестр аккредитованных организаций.</w:t>
      </w:r>
    </w:p>
    <w:p w:rsidR="006D41FB" w:rsidRPr="00893D59" w:rsidRDefault="006D41FB" w:rsidP="006D41FB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color w:val="000000"/>
          <w:sz w:val="20"/>
          <w:szCs w:val="20"/>
        </w:rPr>
      </w:pPr>
      <w:proofErr w:type="gramStart"/>
      <w:r w:rsidRPr="00893D59">
        <w:rPr>
          <w:color w:val="000000"/>
          <w:sz w:val="20"/>
          <w:szCs w:val="20"/>
        </w:rPr>
        <w:t>Обучение слушателей по охране</w:t>
      </w:r>
      <w:proofErr w:type="gramEnd"/>
      <w:r w:rsidRPr="00893D59">
        <w:rPr>
          <w:color w:val="000000"/>
          <w:sz w:val="20"/>
          <w:szCs w:val="20"/>
        </w:rPr>
        <w:t xml:space="preserve"> труда и технике безопасности заканчивается сдачей зачета, который принимается в форме тестирования.</w:t>
      </w:r>
    </w:p>
    <w:p w:rsidR="006D41FB" w:rsidRPr="00893D59" w:rsidRDefault="006D41FB" w:rsidP="006D41FB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color w:val="000000"/>
          <w:sz w:val="20"/>
          <w:szCs w:val="20"/>
        </w:rPr>
      </w:pPr>
      <w:r w:rsidRPr="00893D59">
        <w:rPr>
          <w:color w:val="000000"/>
          <w:sz w:val="20"/>
          <w:szCs w:val="20"/>
        </w:rPr>
        <w:t>Лицам, успешно прошедшим проверку знаний, выдается квалификационное удостоверение  за подписью председателя и членов комиссии, заверенное печатью организации, выдавшей удостоверение, и указывается дата следующей аттестации.</w:t>
      </w:r>
    </w:p>
    <w:p w:rsidR="006D41FB" w:rsidRPr="00893D59" w:rsidRDefault="006D41FB" w:rsidP="006D41FB">
      <w:pPr>
        <w:rPr>
          <w:b/>
          <w:bCs/>
          <w:i/>
          <w:iCs/>
          <w:color w:val="000000"/>
          <w:sz w:val="20"/>
          <w:szCs w:val="20"/>
        </w:rPr>
      </w:pPr>
    </w:p>
    <w:p w:rsidR="006075E4" w:rsidRPr="00893D59" w:rsidRDefault="006D41FB" w:rsidP="006D41FB">
      <w:pPr>
        <w:jc w:val="both"/>
        <w:rPr>
          <w:sz w:val="20"/>
          <w:szCs w:val="20"/>
        </w:rPr>
      </w:pPr>
      <w:r w:rsidRPr="00893D59">
        <w:rPr>
          <w:b/>
          <w:bCs/>
          <w:sz w:val="20"/>
          <w:szCs w:val="20"/>
        </w:rPr>
        <w:t xml:space="preserve">ВАЖНО! </w:t>
      </w:r>
      <w:r w:rsidRPr="00893D59">
        <w:rPr>
          <w:sz w:val="20"/>
          <w:szCs w:val="20"/>
        </w:rPr>
        <w:t xml:space="preserve">По результатам проверки государственные инспекторы труда принимают меры по предупреждению, выявлению и пресечению нарушений работодателями обязательных требований, а также привлечению виновных в их нарушении лиц к ответственности в соответствии с законодательством Российской Федерации. </w:t>
      </w:r>
      <w:r w:rsidRPr="00893D59">
        <w:rPr>
          <w:b/>
          <w:bCs/>
          <w:i/>
          <w:iCs/>
          <w:sz w:val="20"/>
          <w:szCs w:val="20"/>
        </w:rPr>
        <w:t>Устаревшие организационно-распорядительные документы по вопросам охраны труда или их отсутствие, может привести к наложению штрафов.</w:t>
      </w:r>
      <w:bookmarkStart w:id="2" w:name="_GoBack"/>
      <w:bookmarkEnd w:id="2"/>
    </w:p>
    <w:sectPr w:rsidR="006075E4" w:rsidRPr="00893D59" w:rsidSect="004D65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5pt" o:bullet="t">
        <v:imagedata r:id="rId1" o:title="znak4"/>
      </v:shape>
    </w:pict>
  </w:numPicBullet>
  <w:abstractNum w:abstractNumId="0">
    <w:nsid w:val="5AE13F44"/>
    <w:multiLevelType w:val="hybridMultilevel"/>
    <w:tmpl w:val="9764527E"/>
    <w:lvl w:ilvl="0" w:tplc="09D0D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45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4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8E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2A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0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6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8D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AC0915"/>
    <w:multiLevelType w:val="hybridMultilevel"/>
    <w:tmpl w:val="9EC8EF2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9E"/>
    <w:rsid w:val="002901C1"/>
    <w:rsid w:val="00355B9E"/>
    <w:rsid w:val="004D6522"/>
    <w:rsid w:val="006075E4"/>
    <w:rsid w:val="006D41FB"/>
    <w:rsid w:val="00893D59"/>
    <w:rsid w:val="00B1256F"/>
    <w:rsid w:val="00BE7710"/>
    <w:rsid w:val="00F7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41FB"/>
    <w:pPr>
      <w:keepNext/>
      <w:jc w:val="center"/>
      <w:outlineLvl w:val="8"/>
    </w:pPr>
    <w:rPr>
      <w:rFonts w:ascii="Arial Narrow" w:hAnsi="Arial Narrow" w:cs="Helvetica"/>
      <w:b/>
      <w:bCs/>
      <w:i/>
      <w:i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41FB"/>
    <w:rPr>
      <w:rFonts w:ascii="Arial Narrow" w:eastAsia="Times New Roman" w:hAnsi="Arial Narrow" w:cs="Helvetica"/>
      <w:b/>
      <w:bCs/>
      <w:i/>
      <w:iCs/>
      <w:color w:val="000000"/>
      <w:sz w:val="23"/>
      <w:szCs w:val="23"/>
      <w:lang w:eastAsia="ru-RU"/>
    </w:rPr>
  </w:style>
  <w:style w:type="paragraph" w:styleId="a3">
    <w:name w:val="caption"/>
    <w:basedOn w:val="a"/>
    <w:next w:val="a"/>
    <w:qFormat/>
    <w:rsid w:val="006D41FB"/>
    <w:pPr>
      <w:jc w:val="center"/>
    </w:pPr>
    <w:rPr>
      <w:b/>
    </w:rPr>
  </w:style>
  <w:style w:type="paragraph" w:styleId="a4">
    <w:name w:val="Body Text"/>
    <w:aliases w:val="Заг1,BO,ID,body indent,ändrad, ändrad,EHPT,Body Text2"/>
    <w:basedOn w:val="a"/>
    <w:link w:val="a5"/>
    <w:semiHidden/>
    <w:rsid w:val="006D41FB"/>
    <w:pPr>
      <w:jc w:val="both"/>
    </w:pPr>
    <w:rPr>
      <w:rFonts w:ascii="Arial Narrow" w:hAnsi="Arial Narrow"/>
      <w:sz w:val="23"/>
      <w:szCs w:val="20"/>
    </w:rPr>
  </w:style>
  <w:style w:type="character" w:customStyle="1" w:styleId="a5">
    <w:name w:val="Основной текст Знак"/>
    <w:aliases w:val="Заг1 Знак,BO Знак,ID Знак,body indent Знак,ändrad Знак, ändrad Знак,EHPT Знак,Body Text2 Знак"/>
    <w:basedOn w:val="a0"/>
    <w:link w:val="a4"/>
    <w:semiHidden/>
    <w:rsid w:val="006D41FB"/>
    <w:rPr>
      <w:rFonts w:ascii="Arial Narrow" w:eastAsia="Times New Roman" w:hAnsi="Arial Narrow" w:cs="Times New Roman"/>
      <w:sz w:val="23"/>
      <w:szCs w:val="20"/>
      <w:lang w:eastAsia="ru-RU"/>
    </w:rPr>
  </w:style>
  <w:style w:type="character" w:styleId="a6">
    <w:name w:val="Strong"/>
    <w:basedOn w:val="a0"/>
    <w:qFormat/>
    <w:rsid w:val="006D41FB"/>
    <w:rPr>
      <w:b/>
      <w:bCs/>
    </w:rPr>
  </w:style>
  <w:style w:type="character" w:customStyle="1" w:styleId="apple-converted-space">
    <w:name w:val="apple-converted-space"/>
    <w:basedOn w:val="a0"/>
    <w:rsid w:val="006D41FB"/>
  </w:style>
  <w:style w:type="paragraph" w:styleId="a7">
    <w:name w:val="Balloon Text"/>
    <w:basedOn w:val="a"/>
    <w:link w:val="a8"/>
    <w:uiPriority w:val="99"/>
    <w:semiHidden/>
    <w:unhideWhenUsed/>
    <w:rsid w:val="006D4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41FB"/>
    <w:pPr>
      <w:keepNext/>
      <w:jc w:val="center"/>
      <w:outlineLvl w:val="8"/>
    </w:pPr>
    <w:rPr>
      <w:rFonts w:ascii="Arial Narrow" w:hAnsi="Arial Narrow" w:cs="Helvetica"/>
      <w:b/>
      <w:bCs/>
      <w:i/>
      <w:i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41FB"/>
    <w:rPr>
      <w:rFonts w:ascii="Arial Narrow" w:eastAsia="Times New Roman" w:hAnsi="Arial Narrow" w:cs="Helvetica"/>
      <w:b/>
      <w:bCs/>
      <w:i/>
      <w:iCs/>
      <w:color w:val="000000"/>
      <w:sz w:val="23"/>
      <w:szCs w:val="23"/>
      <w:lang w:eastAsia="ru-RU"/>
    </w:rPr>
  </w:style>
  <w:style w:type="paragraph" w:styleId="a3">
    <w:name w:val="caption"/>
    <w:basedOn w:val="a"/>
    <w:next w:val="a"/>
    <w:qFormat/>
    <w:rsid w:val="006D41FB"/>
    <w:pPr>
      <w:jc w:val="center"/>
    </w:pPr>
    <w:rPr>
      <w:b/>
    </w:rPr>
  </w:style>
  <w:style w:type="paragraph" w:styleId="a4">
    <w:name w:val="Body Text"/>
    <w:aliases w:val="Заг1,BO,ID,body indent,ändrad, ändrad,EHPT,Body Text2"/>
    <w:basedOn w:val="a"/>
    <w:link w:val="a5"/>
    <w:semiHidden/>
    <w:rsid w:val="006D41FB"/>
    <w:pPr>
      <w:jc w:val="both"/>
    </w:pPr>
    <w:rPr>
      <w:rFonts w:ascii="Arial Narrow" w:hAnsi="Arial Narrow"/>
      <w:sz w:val="23"/>
      <w:szCs w:val="20"/>
    </w:rPr>
  </w:style>
  <w:style w:type="character" w:customStyle="1" w:styleId="a5">
    <w:name w:val="Основной текст Знак"/>
    <w:aliases w:val="Заг1 Знак,BO Знак,ID Знак,body indent Знак,ändrad Знак, ändrad Знак,EHPT Знак,Body Text2 Знак"/>
    <w:basedOn w:val="a0"/>
    <w:link w:val="a4"/>
    <w:semiHidden/>
    <w:rsid w:val="006D41FB"/>
    <w:rPr>
      <w:rFonts w:ascii="Arial Narrow" w:eastAsia="Times New Roman" w:hAnsi="Arial Narrow" w:cs="Times New Roman"/>
      <w:sz w:val="23"/>
      <w:szCs w:val="20"/>
      <w:lang w:eastAsia="ru-RU"/>
    </w:rPr>
  </w:style>
  <w:style w:type="character" w:styleId="a6">
    <w:name w:val="Strong"/>
    <w:basedOn w:val="a0"/>
    <w:qFormat/>
    <w:rsid w:val="006D41FB"/>
    <w:rPr>
      <w:b/>
      <w:bCs/>
    </w:rPr>
  </w:style>
  <w:style w:type="character" w:customStyle="1" w:styleId="apple-converted-space">
    <w:name w:val="apple-converted-space"/>
    <w:basedOn w:val="a0"/>
    <w:rsid w:val="006D41FB"/>
  </w:style>
  <w:style w:type="paragraph" w:styleId="a7">
    <w:name w:val="Balloon Text"/>
    <w:basedOn w:val="a"/>
    <w:link w:val="a8"/>
    <w:uiPriority w:val="99"/>
    <w:semiHidden/>
    <w:unhideWhenUsed/>
    <w:rsid w:val="006D4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D51410086FC735FBC07D872BFA3BED929DD2E09520844ED44A4CCFB3E70A9B03F9D15F688AABB5D512x5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877</Words>
  <Characters>5000</Characters>
  <Application>Microsoft Office Word</Application>
  <DocSecurity>0</DocSecurity>
  <Lines>41</Lines>
  <Paragraphs>11</Paragraphs>
  <ScaleCrop>false</ScaleCrop>
  <Company>*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U_ADMOGO_ASA</dc:creator>
  <cp:lastModifiedBy>МО_ПГО_Юристы</cp:lastModifiedBy>
  <cp:revision>6</cp:revision>
  <dcterms:created xsi:type="dcterms:W3CDTF">2017-05-04T05:11:00Z</dcterms:created>
  <dcterms:modified xsi:type="dcterms:W3CDTF">2017-05-06T04:53:00Z</dcterms:modified>
</cp:coreProperties>
</file>